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76D19" w:rsidRDefault="00755D66">
      <w:pPr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REGULATIONS OF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Times New Roman" w:hAnsi="Times New Roman"/>
          <w:b/>
          <w:bCs/>
        </w:rPr>
        <w:t>SYSTEMATIC A</w:t>
      </w:r>
      <w:r>
        <w:rPr>
          <w:rFonts w:ascii="Times New Roman" w:hAnsi="Times New Roman"/>
          <w:b/>
          <w:bCs/>
        </w:rPr>
        <w:t>SS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</w:rPr>
        <w:t>SS</w:t>
      </w:r>
      <w:r>
        <w:rPr>
          <w:rFonts w:ascii="Times New Roman" w:hAnsi="Times New Roman"/>
          <w:b/>
          <w:bCs/>
        </w:rPr>
        <w:t>MENT OF PRACTICAL SKILLS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Times New Roman" w:hAnsi="Times New Roman"/>
          <w:b/>
          <w:bCs/>
        </w:rPr>
        <w:t>DEPARTMENT OF ENDODONTICS</w:t>
      </w:r>
    </w:p>
    <w:p w:rsidR="00B76D19" w:rsidRDefault="00755D6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Regulations of Systematic Assessment of Practical Skills (SAPS) in the Department of Endodontics is </w:t>
      </w:r>
      <w:r>
        <w:rPr>
          <w:rFonts w:ascii="Times New Roman" w:hAnsi="Times New Roman"/>
        </w:rPr>
        <w:t>manda</w:t>
      </w:r>
      <w:r>
        <w:rPr>
          <w:rFonts w:ascii="Times New Roman" w:hAnsi="Times New Roman"/>
        </w:rPr>
        <w:t>tory for every V</w:t>
      </w:r>
      <w:r>
        <w:rPr>
          <w:rFonts w:ascii="Times New Roman" w:hAnsi="Times New Roman"/>
          <w:sz w:val="28"/>
          <w:szCs w:val="28"/>
          <w:vertAlign w:val="superscript"/>
        </w:rPr>
        <w:t>th</w:t>
      </w:r>
      <w:r>
        <w:rPr>
          <w:rFonts w:ascii="Times New Roman" w:hAnsi="Times New Roman"/>
        </w:rPr>
        <w:t xml:space="preserve"> Year student, who has been admitted to participate in the course.</w:t>
      </w:r>
    </w:p>
    <w:p w:rsidR="00B76D19" w:rsidRDefault="00755D6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Final Theoretical Exam (FTE) is a conjoint test for the subject </w:t>
      </w:r>
      <w:r>
        <w:rPr>
          <w:rFonts w:ascii="Times New Roman" w:hAnsi="Times New Roman"/>
        </w:rPr>
        <w:t>“</w:t>
      </w:r>
      <w:r>
        <w:rPr>
          <w:rFonts w:ascii="Times New Roman" w:hAnsi="Times New Roman"/>
        </w:rPr>
        <w:t>Conservative Dentistry and Endodontics</w:t>
      </w:r>
      <w:r>
        <w:rPr>
          <w:rFonts w:ascii="Times New Roman" w:hAnsi="Times New Roman"/>
        </w:rPr>
        <w:t>”</w:t>
      </w:r>
      <w:r>
        <w:rPr>
          <w:rFonts w:ascii="Times New Roman" w:hAnsi="Times New Roman"/>
        </w:rPr>
        <w:t>. It is compulsory for all students. It consists of 2 practical parts (separately</w:t>
      </w:r>
      <w:r>
        <w:rPr>
          <w:rFonts w:ascii="Times New Roman" w:hAnsi="Times New Roman"/>
        </w:rPr>
        <w:t xml:space="preserve"> in the Department of Conservative Dentistry and the Department of Endodontics) and a common test. Every student has to pass both practical parts to be permitted to FTE. The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ractical part in the Dept. of Endodontics takes a form of Systematic Assessment o</w:t>
      </w:r>
      <w:r>
        <w:rPr>
          <w:rFonts w:ascii="Times New Roman" w:hAnsi="Times New Roman"/>
        </w:rPr>
        <w:t>f Practical Skills (SAPS) and it covers all the classes during the V</w:t>
      </w:r>
      <w:r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Year of</w:t>
      </w:r>
      <w:r>
        <w:rPr>
          <w:rFonts w:ascii="Times New Roman" w:hAnsi="Times New Roman"/>
        </w:rPr>
        <w:t xml:space="preserve"> an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ndodontic course.</w:t>
      </w:r>
    </w:p>
    <w:p w:rsidR="00B76D19" w:rsidRDefault="00755D6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SAPS in the Department of Endodontics is held to evaluate the students</w:t>
      </w:r>
      <w:r>
        <w:rPr>
          <w:rFonts w:ascii="Times New Roman" w:hAnsi="Times New Roman"/>
        </w:rPr>
        <w:t xml:space="preserve">’ </w:t>
      </w:r>
      <w:r>
        <w:rPr>
          <w:rFonts w:ascii="Times New Roman" w:hAnsi="Times New Roman"/>
        </w:rPr>
        <w:t>acquired skills, knowledge and competence to work with endodontic patients. The obl</w:t>
      </w:r>
      <w:r>
        <w:rPr>
          <w:rFonts w:ascii="Times New Roman" w:hAnsi="Times New Roman"/>
        </w:rPr>
        <w:t>igatory skills are mentioned in the Syllabus.</w:t>
      </w:r>
    </w:p>
    <w:p w:rsidR="00B76D19" w:rsidRDefault="00755D6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SAPS is held from the first to the last class on the V</w:t>
      </w:r>
      <w:r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Year. It is one of the elements necessary to pass the subject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Conservative Dentistry with Endodontics.</w:t>
      </w:r>
    </w:p>
    <w:p w:rsidR="00B76D19" w:rsidRDefault="00755D6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Student is graded according to the Protocol of Acq</w:t>
      </w:r>
      <w:r>
        <w:rPr>
          <w:rFonts w:ascii="Times New Roman" w:hAnsi="Times New Roman"/>
        </w:rPr>
        <w:t>uired Practical Skills (appendix 6) every time during work with patients.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Student may receive grade 2 to 5, depending on the </w:t>
      </w:r>
      <w:r>
        <w:rPr>
          <w:rFonts w:ascii="Times New Roman" w:hAnsi="Times New Roman"/>
        </w:rPr>
        <w:t>quality</w:t>
      </w:r>
      <w:r>
        <w:rPr>
          <w:rFonts w:ascii="Times New Roman" w:hAnsi="Times New Roman"/>
        </w:rPr>
        <w:t xml:space="preserve"> o</w:t>
      </w:r>
      <w:r>
        <w:rPr>
          <w:rFonts w:ascii="Times New Roman" w:hAnsi="Times New Roman"/>
        </w:rPr>
        <w:t xml:space="preserve">f </w:t>
      </w:r>
      <w:r>
        <w:rPr>
          <w:rFonts w:ascii="Times New Roman" w:hAnsi="Times New Roman"/>
        </w:rPr>
        <w:t>perform</w:t>
      </w:r>
      <w:r>
        <w:rPr>
          <w:rFonts w:ascii="Times New Roman" w:hAnsi="Times New Roman"/>
        </w:rPr>
        <w:t xml:space="preserve">ance </w:t>
      </w:r>
      <w:r>
        <w:rPr>
          <w:rFonts w:ascii="Times New Roman" w:hAnsi="Times New Roman"/>
        </w:rPr>
        <w:t>(Appendix 7)</w:t>
      </w:r>
    </w:p>
    <w:p w:rsidR="00B76D19" w:rsidRDefault="00755D6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Student is required to perform all the procedures </w:t>
      </w:r>
      <w:r>
        <w:rPr>
          <w:rFonts w:ascii="Times New Roman" w:hAnsi="Times New Roman"/>
        </w:rPr>
        <w:t>himself</w:t>
      </w:r>
      <w:r>
        <w:rPr>
          <w:rFonts w:ascii="Times New Roman" w:hAnsi="Times New Roman"/>
        </w:rPr>
        <w:t>.</w:t>
      </w:r>
    </w:p>
    <w:p w:rsidR="00B76D19" w:rsidRDefault="00755D6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the procedures performed and required for proper treatment are being graded. </w:t>
      </w:r>
      <w:r>
        <w:rPr>
          <w:rFonts w:ascii="Times New Roman" w:hAnsi="Times New Roman"/>
        </w:rPr>
        <w:t xml:space="preserve">Procedures included in the treatment plan but not performed by the student are also graded. </w:t>
      </w:r>
      <w:r>
        <w:rPr>
          <w:rFonts w:ascii="Times New Roman" w:hAnsi="Times New Roman"/>
        </w:rPr>
        <w:t xml:space="preserve">The procedures not included in the treatment plan are not </w:t>
      </w:r>
      <w:r>
        <w:rPr>
          <w:rFonts w:ascii="Times New Roman" w:hAnsi="Times New Roman"/>
        </w:rPr>
        <w:t xml:space="preserve">graded. </w:t>
      </w:r>
    </w:p>
    <w:p w:rsidR="00B76D19" w:rsidRDefault="00755D6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final grade </w:t>
      </w:r>
      <w:r>
        <w:rPr>
          <w:rFonts w:ascii="Times New Roman" w:hAnsi="Times New Roman"/>
        </w:rPr>
        <w:t>for each</w:t>
      </w:r>
      <w:r>
        <w:rPr>
          <w:rFonts w:ascii="Times New Roman" w:hAnsi="Times New Roman"/>
        </w:rPr>
        <w:t xml:space="preserve"> evaluated</w:t>
      </w:r>
      <w:r>
        <w:rPr>
          <w:rFonts w:ascii="Times New Roman" w:hAnsi="Times New Roman"/>
        </w:rPr>
        <w:t xml:space="preserve"> part of SAPS is an average of all the grades obtained during whole SAPS cycle and is calculated at the end of Endodontics Course.</w:t>
      </w:r>
    </w:p>
    <w:p w:rsidR="00B76D19" w:rsidRDefault="00755D6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receive a satisfactory grade from SAPS the student is required to work as a doctor </w:t>
      </w:r>
      <w:r>
        <w:rPr>
          <w:rFonts w:ascii="Times New Roman" w:hAnsi="Times New Roman"/>
        </w:rPr>
        <w:t>according to the esta</w:t>
      </w:r>
      <w:r>
        <w:rPr>
          <w:rFonts w:ascii="Times New Roman" w:hAnsi="Times New Roman"/>
        </w:rPr>
        <w:t xml:space="preserve">blished timetable during the whole endodontic course, in exceptional circumstances </w:t>
      </w:r>
      <w:r>
        <w:rPr>
          <w:rFonts w:ascii="Times New Roman" w:hAnsi="Times New Roman"/>
        </w:rPr>
        <w:t xml:space="preserve">during </w:t>
      </w:r>
      <w:r>
        <w:rPr>
          <w:rFonts w:ascii="Times New Roman" w:hAnsi="Times New Roman"/>
        </w:rPr>
        <w:t>not less than</w:t>
      </w:r>
      <w:r>
        <w:rPr>
          <w:rFonts w:ascii="Times New Roman" w:hAnsi="Times New Roman"/>
        </w:rPr>
        <w:t xml:space="preserve"> 3 classes. Failure to meet this requirement results with failing of SAPS and is equal to receiving an insufficient grade from the subject Conservative D</w:t>
      </w:r>
      <w:r>
        <w:rPr>
          <w:rFonts w:ascii="Times New Roman" w:hAnsi="Times New Roman"/>
        </w:rPr>
        <w:t>entistry and Endodontics.</w:t>
      </w:r>
    </w:p>
    <w:p w:rsidR="00B76D19" w:rsidRDefault="00755D6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Final grade is assessed according to the following rating scale:</w:t>
      </w:r>
    </w:p>
    <w:p w:rsidR="00B76D19" w:rsidRDefault="00755D66">
      <w:pPr>
        <w:pStyle w:val="Akapitzlist"/>
        <w:numPr>
          <w:ilvl w:val="0"/>
          <w:numId w:val="4"/>
        </w:num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3.0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3.44</w:t>
      </w:r>
      <w:r>
        <w:rPr>
          <w:rFonts w:ascii="Times New Roman" w:hAnsi="Times New Roman"/>
        </w:rPr>
        <w:tab/>
        <w:t>(3)</w:t>
      </w:r>
      <w:r>
        <w:rPr>
          <w:rFonts w:ascii="Times New Roman" w:hAnsi="Times New Roman"/>
        </w:rPr>
        <w:tab/>
        <w:t>Sufficient</w:t>
      </w:r>
    </w:p>
    <w:p w:rsidR="00B76D19" w:rsidRDefault="00755D66">
      <w:pPr>
        <w:pStyle w:val="Akapitzlist"/>
        <w:numPr>
          <w:ilvl w:val="0"/>
          <w:numId w:val="4"/>
        </w:num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3.45-3.84 </w:t>
      </w:r>
      <w:r>
        <w:rPr>
          <w:rFonts w:ascii="Times New Roman" w:hAnsi="Times New Roman"/>
        </w:rPr>
        <w:tab/>
        <w:t>(3,5)</w:t>
      </w:r>
      <w:r>
        <w:rPr>
          <w:rFonts w:ascii="Times New Roman" w:hAnsi="Times New Roman"/>
        </w:rPr>
        <w:tab/>
        <w:t>Satisfactory</w:t>
      </w:r>
    </w:p>
    <w:p w:rsidR="00B76D19" w:rsidRDefault="00755D66">
      <w:pPr>
        <w:pStyle w:val="Akapitzlist"/>
        <w:numPr>
          <w:ilvl w:val="0"/>
          <w:numId w:val="4"/>
        </w:num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3.85 - 4.44</w:t>
      </w:r>
      <w:r>
        <w:rPr>
          <w:rFonts w:ascii="Times New Roman" w:hAnsi="Times New Roman"/>
        </w:rPr>
        <w:tab/>
        <w:t>(4)</w:t>
      </w:r>
      <w:r>
        <w:rPr>
          <w:rFonts w:ascii="Times New Roman" w:hAnsi="Times New Roman"/>
        </w:rPr>
        <w:tab/>
        <w:t>Good</w:t>
      </w:r>
    </w:p>
    <w:p w:rsidR="00B76D19" w:rsidRDefault="00755D66">
      <w:pPr>
        <w:pStyle w:val="Akapitzlist"/>
        <w:numPr>
          <w:ilvl w:val="0"/>
          <w:numId w:val="4"/>
        </w:num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4.45 - 4.84</w:t>
      </w:r>
      <w:r>
        <w:rPr>
          <w:rFonts w:ascii="Times New Roman" w:hAnsi="Times New Roman"/>
        </w:rPr>
        <w:tab/>
        <w:t>(4+)</w:t>
      </w:r>
      <w:r>
        <w:rPr>
          <w:rFonts w:ascii="Times New Roman" w:hAnsi="Times New Roman"/>
        </w:rPr>
        <w:tab/>
        <w:t>Very Good</w:t>
      </w:r>
    </w:p>
    <w:p w:rsidR="00B76D19" w:rsidRDefault="00755D66">
      <w:pPr>
        <w:pStyle w:val="Akapitzlist"/>
        <w:numPr>
          <w:ilvl w:val="0"/>
          <w:numId w:val="4"/>
        </w:num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4.85 - 5.0</w:t>
      </w:r>
      <w:r>
        <w:rPr>
          <w:rFonts w:ascii="Times New Roman" w:hAnsi="Times New Roman"/>
        </w:rPr>
        <w:tab/>
        <w:t>(5)</w:t>
      </w:r>
      <w:r>
        <w:rPr>
          <w:rFonts w:ascii="Times New Roman" w:hAnsi="Times New Roman"/>
        </w:rPr>
        <w:tab/>
        <w:t>Excellent</w:t>
      </w:r>
    </w:p>
    <w:p w:rsidR="00B76D19" w:rsidRDefault="00755D66">
      <w:pPr>
        <w:pStyle w:val="Akapitzlist"/>
        <w:numPr>
          <w:ilvl w:val="0"/>
          <w:numId w:val="5"/>
        </w:num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An insufficient grade (2) from SAPS </w:t>
      </w:r>
      <w:r>
        <w:rPr>
          <w:rFonts w:ascii="Times New Roman" w:hAnsi="Times New Roman"/>
        </w:rPr>
        <w:t>in the Department of Endodontics and/or practical exam in the Department of Conservative dentistry is equal to failing the subject of Conservative Dentistry and Endodontics and an insufficient grade introduced into the electronic index.</w:t>
      </w:r>
    </w:p>
    <w:p w:rsidR="00B76D19" w:rsidRDefault="00755D6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grade from SAPS</w:t>
      </w:r>
      <w:r>
        <w:rPr>
          <w:rFonts w:ascii="Times New Roman" w:hAnsi="Times New Roman"/>
        </w:rPr>
        <w:t xml:space="preserve"> is a final grade</w:t>
      </w:r>
      <w:r>
        <w:rPr>
          <w:rFonts w:ascii="Times New Roman" w:hAnsi="Times New Roman"/>
        </w:rPr>
        <w:t xml:space="preserve"> and can not be corrected</w:t>
      </w:r>
      <w:r>
        <w:rPr>
          <w:rFonts w:ascii="Times New Roman" w:hAnsi="Times New Roman"/>
        </w:rPr>
        <w:t xml:space="preserve">. It </w:t>
      </w:r>
      <w:r>
        <w:rPr>
          <w:rFonts w:ascii="Times New Roman" w:hAnsi="Times New Roman"/>
        </w:rPr>
        <w:t xml:space="preserve">results from the overall </w:t>
      </w:r>
      <w:r>
        <w:rPr>
          <w:rFonts w:ascii="Times New Roman" w:hAnsi="Times New Roman"/>
        </w:rPr>
        <w:t xml:space="preserve"> summary of </w:t>
      </w:r>
      <w:r>
        <w:rPr>
          <w:rFonts w:ascii="Times New Roman" w:hAnsi="Times New Roman"/>
        </w:rPr>
        <w:t>student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</w:rPr>
        <w:t>performance during the whole cycle of classes in the Department of Endodontics in V</w:t>
      </w:r>
      <w:r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Year. </w:t>
      </w:r>
    </w:p>
    <w:p w:rsidR="00B76D19" w:rsidRDefault="00755D6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During SAPS a neat appearance and an impeccable ethical attitude is r</w:t>
      </w:r>
      <w:r>
        <w:rPr>
          <w:rFonts w:ascii="Times New Roman" w:hAnsi="Times New Roman"/>
        </w:rPr>
        <w:t>equired.</w:t>
      </w:r>
    </w:p>
    <w:p w:rsidR="00B76D19" w:rsidRDefault="00755D6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During SAPS complete prohibition of cell phones usage is in force.</w:t>
      </w:r>
    </w:p>
    <w:p w:rsidR="00B76D19" w:rsidRDefault="00755D6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Absence without leave on 3 or more classes results in failure of SAPS in the Department of Endodontics and an Insufficient grade regardless of the PCE gathered.</w:t>
      </w:r>
    </w:p>
    <w:p w:rsidR="00B76D19" w:rsidRDefault="00755D6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case of failing </w:t>
      </w:r>
      <w:r>
        <w:rPr>
          <w:rFonts w:ascii="Times New Roman" w:hAnsi="Times New Roman"/>
        </w:rPr>
        <w:t>to obey: The Rules and Regulations of Preclinical and Clinical Classes in the Department of Endodontics, the Regulations of SAPS, Code of Ethics and/or gross negligence or lack of practical skills and/or theoretical knowledge a student may be asked to leav</w:t>
      </w:r>
      <w:r>
        <w:rPr>
          <w:rFonts w:ascii="Times New Roman" w:hAnsi="Times New Roman"/>
        </w:rPr>
        <w:t xml:space="preserve">e the </w:t>
      </w:r>
      <w:r>
        <w:rPr>
          <w:rFonts w:ascii="Times New Roman" w:hAnsi="Times New Roman"/>
        </w:rPr>
        <w:t xml:space="preserve"> c</w:t>
      </w:r>
      <w:r>
        <w:rPr>
          <w:rFonts w:ascii="Times New Roman" w:hAnsi="Times New Roman"/>
        </w:rPr>
        <w:t xml:space="preserve">linic </w:t>
      </w:r>
      <w:r>
        <w:rPr>
          <w:rFonts w:ascii="Times New Roman" w:hAnsi="Times New Roman"/>
        </w:rPr>
        <w:t xml:space="preserve">or asked to immediately stop </w:t>
      </w:r>
      <w:r>
        <w:rPr>
          <w:rFonts w:ascii="Times New Roman" w:hAnsi="Times New Roman"/>
        </w:rPr>
        <w:t>working with patients as a doctor. The decision is up to the assistant supervising the classes.</w:t>
      </w:r>
    </w:p>
    <w:p w:rsidR="00B76D19" w:rsidRDefault="00755D6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student has the right to enter objections</w:t>
      </w:r>
      <w:r>
        <w:rPr>
          <w:rFonts w:ascii="Times New Roman" w:hAnsi="Times New Roman"/>
        </w:rPr>
        <w:t xml:space="preserve"> regarding SAPS</w:t>
      </w:r>
      <w:r>
        <w:rPr>
          <w:rFonts w:ascii="Times New Roman" w:hAnsi="Times New Roman"/>
        </w:rPr>
        <w:t xml:space="preserve"> to (named in order): </w:t>
      </w:r>
      <w:r>
        <w:rPr>
          <w:rFonts w:ascii="Times New Roman" w:hAnsi="Times New Roman"/>
        </w:rPr>
        <w:t>student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>s faculty teacher</w:t>
      </w:r>
      <w:r>
        <w:rPr>
          <w:rFonts w:ascii="Times New Roman" w:hAnsi="Times New Roman"/>
        </w:rPr>
        <w:t xml:space="preserve">, the </w:t>
      </w:r>
      <w:r>
        <w:rPr>
          <w:rFonts w:ascii="Times New Roman" w:hAnsi="Times New Roman"/>
        </w:rPr>
        <w:t xml:space="preserve"> facul</w:t>
      </w:r>
      <w:r>
        <w:rPr>
          <w:rFonts w:ascii="Times New Roman" w:hAnsi="Times New Roman"/>
        </w:rPr>
        <w:t>ty teacher</w:t>
      </w:r>
      <w:r>
        <w:rPr>
          <w:rFonts w:ascii="Times New Roman" w:hAnsi="Times New Roman"/>
        </w:rPr>
        <w:t xml:space="preserve"> co-running the classes, the </w:t>
      </w:r>
      <w:r>
        <w:rPr>
          <w:rFonts w:ascii="Times New Roman" w:hAnsi="Times New Roman"/>
        </w:rPr>
        <w:t xml:space="preserve">course coordinator in the Dept. of Endodontcs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the</w:t>
      </w:r>
      <w:r>
        <w:rPr>
          <w:rFonts w:ascii="Times New Roman" w:hAnsi="Times New Roman"/>
        </w:rPr>
        <w:t xml:space="preserve"> head of the Department of Endodontics. Failing to report objections to the controversial situation without delay is equivalent to accepting the decision of the </w:t>
      </w:r>
      <w:r>
        <w:rPr>
          <w:rFonts w:ascii="Times New Roman" w:hAnsi="Times New Roman"/>
        </w:rPr>
        <w:t>fac</w:t>
      </w:r>
      <w:r>
        <w:rPr>
          <w:rFonts w:ascii="Times New Roman" w:hAnsi="Times New Roman"/>
        </w:rPr>
        <w:t>ulty teacher</w:t>
      </w:r>
      <w:r>
        <w:rPr>
          <w:rFonts w:ascii="Times New Roman" w:hAnsi="Times New Roman"/>
        </w:rPr>
        <w:t xml:space="preserve"> and a renouncement of future claims.</w:t>
      </w:r>
    </w:p>
    <w:sectPr w:rsidR="00B76D19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D66" w:rsidRDefault="00755D66">
      <w:pPr>
        <w:spacing w:after="0" w:line="240" w:lineRule="auto"/>
      </w:pPr>
      <w:r>
        <w:separator/>
      </w:r>
    </w:p>
  </w:endnote>
  <w:endnote w:type="continuationSeparator" w:id="0">
    <w:p w:rsidR="00755D66" w:rsidRDefault="00755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D19" w:rsidRDefault="00B76D19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D66" w:rsidRDefault="00755D66">
      <w:pPr>
        <w:spacing w:after="0" w:line="240" w:lineRule="auto"/>
      </w:pPr>
      <w:r>
        <w:separator/>
      </w:r>
    </w:p>
  </w:footnote>
  <w:footnote w:type="continuationSeparator" w:id="0">
    <w:p w:rsidR="00755D66" w:rsidRDefault="00755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D19" w:rsidRDefault="00755D66">
    <w:pPr>
      <w:tabs>
        <w:tab w:val="left" w:pos="7575"/>
      </w:tabs>
      <w:jc w:val="right"/>
    </w:pPr>
    <w:r>
      <w:rPr>
        <w:rFonts w:ascii="Times New Roman" w:hAnsi="Times New Roman"/>
      </w:rPr>
      <w:t>Appendix No 4 to the Regulations</w:t>
    </w:r>
    <w:r>
      <w:rPr>
        <w:rFonts w:ascii="Arial Unicode MS" w:eastAsia="Arial Unicode MS" w:hAnsi="Arial Unicode MS" w:cs="Arial Unicode MS"/>
      </w:rPr>
      <w:br/>
    </w:r>
    <w:r>
      <w:rPr>
        <w:rFonts w:ascii="Times New Roman" w:hAnsi="Times New Roman"/>
      </w:rPr>
      <w:t>Regulations of SAPS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30D59"/>
    <w:multiLevelType w:val="hybridMultilevel"/>
    <w:tmpl w:val="4ABC6C08"/>
    <w:numStyleLink w:val="Zaimportowanystyl1"/>
  </w:abstractNum>
  <w:abstractNum w:abstractNumId="1" w15:restartNumberingAfterBreak="0">
    <w:nsid w:val="4E41580E"/>
    <w:multiLevelType w:val="hybridMultilevel"/>
    <w:tmpl w:val="32DCAA1A"/>
    <w:numStyleLink w:val="Zaimportowanystyl2"/>
  </w:abstractNum>
  <w:abstractNum w:abstractNumId="2" w15:restartNumberingAfterBreak="0">
    <w:nsid w:val="5E374030"/>
    <w:multiLevelType w:val="hybridMultilevel"/>
    <w:tmpl w:val="4ABC6C08"/>
    <w:styleLink w:val="Zaimportowanystyl1"/>
    <w:lvl w:ilvl="0" w:tplc="D39454F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0A234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FCEDE32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2C41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006338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0B2AD9E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65A847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41CF49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9E4AAF8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7E42FF2"/>
    <w:multiLevelType w:val="hybridMultilevel"/>
    <w:tmpl w:val="32DCAA1A"/>
    <w:styleLink w:val="Zaimportowanystyl2"/>
    <w:lvl w:ilvl="0" w:tplc="402EA4A0">
      <w:start w:val="1"/>
      <w:numFmt w:val="bullet"/>
      <w:lvlText w:val="·"/>
      <w:lvlJc w:val="left"/>
      <w:pPr>
        <w:ind w:left="28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00E8DA">
      <w:start w:val="1"/>
      <w:numFmt w:val="bullet"/>
      <w:lvlText w:val="o"/>
      <w:lvlJc w:val="left"/>
      <w:pPr>
        <w:ind w:left="356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74218C">
      <w:start w:val="1"/>
      <w:numFmt w:val="bullet"/>
      <w:lvlText w:val="▪"/>
      <w:lvlJc w:val="left"/>
      <w:pPr>
        <w:ind w:left="42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342E5C">
      <w:start w:val="1"/>
      <w:numFmt w:val="bullet"/>
      <w:lvlText w:val="·"/>
      <w:lvlJc w:val="left"/>
      <w:pPr>
        <w:ind w:left="500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56CF14">
      <w:start w:val="1"/>
      <w:numFmt w:val="bullet"/>
      <w:lvlText w:val="o"/>
      <w:lvlJc w:val="left"/>
      <w:pPr>
        <w:ind w:left="57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9EB9D4">
      <w:start w:val="1"/>
      <w:numFmt w:val="bullet"/>
      <w:lvlText w:val="▪"/>
      <w:lvlJc w:val="left"/>
      <w:pPr>
        <w:ind w:left="64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44549A">
      <w:start w:val="1"/>
      <w:numFmt w:val="bullet"/>
      <w:lvlText w:val="·"/>
      <w:lvlJc w:val="left"/>
      <w:pPr>
        <w:ind w:left="716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9E5DC0">
      <w:start w:val="1"/>
      <w:numFmt w:val="bullet"/>
      <w:lvlText w:val="o"/>
      <w:lvlJc w:val="left"/>
      <w:pPr>
        <w:ind w:left="78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EC6E2E">
      <w:start w:val="1"/>
      <w:numFmt w:val="bullet"/>
      <w:lvlText w:val="▪"/>
      <w:lvlJc w:val="left"/>
      <w:pPr>
        <w:ind w:left="86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lvl w:ilvl="0" w:tplc="2F14937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4DCCC48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91EF79A">
        <w:start w:val="1"/>
        <w:numFmt w:val="lowerRoman"/>
        <w:lvlText w:val="%3."/>
        <w:lvlJc w:val="left"/>
        <w:pPr>
          <w:ind w:left="216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680ECEE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9A860A2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9EADFDC">
        <w:start w:val="1"/>
        <w:numFmt w:val="lowerRoman"/>
        <w:lvlText w:val="%6."/>
        <w:lvlJc w:val="left"/>
        <w:pPr>
          <w:ind w:left="432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3218FA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BD494BE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A5CBCFC">
        <w:start w:val="1"/>
        <w:numFmt w:val="lowerRoman"/>
        <w:lvlText w:val="%9."/>
        <w:lvlJc w:val="left"/>
        <w:pPr>
          <w:ind w:left="648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D19"/>
    <w:rsid w:val="00075421"/>
    <w:rsid w:val="00755D66"/>
    <w:rsid w:val="00B7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B90FB-8627-4AEA-AB45-13719FBF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2</cp:revision>
  <dcterms:created xsi:type="dcterms:W3CDTF">2018-10-02T11:30:00Z</dcterms:created>
  <dcterms:modified xsi:type="dcterms:W3CDTF">2018-10-02T11:30:00Z</dcterms:modified>
</cp:coreProperties>
</file>